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02002" w14:textId="0F4F807D" w:rsidR="00F17B08" w:rsidRPr="007C77F1" w:rsidRDefault="00131C10" w:rsidP="00516367">
      <w:pPr>
        <w:pStyle w:val="Nadpis1"/>
        <w:tabs>
          <w:tab w:val="right" w:pos="9072"/>
        </w:tabs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TISKOVÁ ZPRÁVA, březen</w:t>
      </w:r>
      <w:r w:rsidR="00186AB3" w:rsidRPr="007C77F1">
        <w:rPr>
          <w:rFonts w:asciiTheme="minorHAnsi" w:hAnsiTheme="minorHAnsi" w:cstheme="minorHAnsi"/>
          <w:sz w:val="28"/>
          <w:szCs w:val="28"/>
        </w:rPr>
        <w:t xml:space="preserve"> 2017</w:t>
      </w:r>
      <w:r w:rsidR="00516367" w:rsidRPr="007C77F1">
        <w:rPr>
          <w:rFonts w:asciiTheme="minorHAnsi" w:hAnsiTheme="minorHAnsi" w:cstheme="minorHAnsi"/>
          <w:sz w:val="28"/>
          <w:szCs w:val="28"/>
        </w:rPr>
        <w:tab/>
      </w:r>
    </w:p>
    <w:p w14:paraId="7ACF7480" w14:textId="77777777" w:rsidR="002B1CFD" w:rsidRDefault="002B1CFD" w:rsidP="00BE6D17">
      <w:pPr>
        <w:rPr>
          <w:b/>
          <w:sz w:val="28"/>
          <w:szCs w:val="28"/>
        </w:rPr>
      </w:pPr>
      <w:bookmarkStart w:id="0" w:name="_Ref207368830"/>
      <w:bookmarkStart w:id="1" w:name="_Toc326522961"/>
      <w:bookmarkStart w:id="2" w:name="_Toc430183951"/>
    </w:p>
    <w:p w14:paraId="01978C5F" w14:textId="40BA028E" w:rsidR="001F3846" w:rsidRDefault="001F3846" w:rsidP="00BE6D17">
      <w:pPr>
        <w:rPr>
          <w:b/>
          <w:sz w:val="28"/>
          <w:szCs w:val="28"/>
        </w:rPr>
      </w:pPr>
      <w:bookmarkStart w:id="3" w:name="_GoBack"/>
      <w:bookmarkEnd w:id="3"/>
      <w:r w:rsidRPr="001F3846">
        <w:rPr>
          <w:b/>
          <w:sz w:val="28"/>
          <w:szCs w:val="28"/>
        </w:rPr>
        <w:t>Kongresové centrum</w:t>
      </w:r>
      <w:r>
        <w:rPr>
          <w:b/>
          <w:sz w:val="28"/>
          <w:szCs w:val="28"/>
        </w:rPr>
        <w:t xml:space="preserve"> Praha může začít sčítat úspory</w:t>
      </w:r>
    </w:p>
    <w:p w14:paraId="72C82CF3" w14:textId="77777777" w:rsidR="002B1CFD" w:rsidRPr="001F3846" w:rsidRDefault="002B1CFD" w:rsidP="00BE6D17">
      <w:pPr>
        <w:rPr>
          <w:b/>
          <w:sz w:val="28"/>
          <w:szCs w:val="28"/>
        </w:rPr>
      </w:pPr>
    </w:p>
    <w:p w14:paraId="1BC30325" w14:textId="2DF0BFA0" w:rsidR="002101E8" w:rsidRDefault="00F92C62" w:rsidP="000E79B4">
      <w:pPr>
        <w:spacing w:before="0" w:after="0" w:line="360" w:lineRule="auto"/>
        <w:rPr>
          <w:b/>
        </w:rPr>
      </w:pPr>
      <w:r>
        <w:rPr>
          <w:b/>
        </w:rPr>
        <w:t>V</w:t>
      </w:r>
      <w:r w:rsidR="002101E8">
        <w:rPr>
          <w:b/>
        </w:rPr>
        <w:t xml:space="preserve"> Kongresovém centru Praha (KCP) </w:t>
      </w:r>
      <w:r>
        <w:rPr>
          <w:b/>
        </w:rPr>
        <w:t xml:space="preserve">byla </w:t>
      </w:r>
      <w:r w:rsidR="002101E8">
        <w:rPr>
          <w:b/>
        </w:rPr>
        <w:t xml:space="preserve">úspěšně zakončena </w:t>
      </w:r>
      <w:r w:rsidR="00A76A4D">
        <w:rPr>
          <w:b/>
        </w:rPr>
        <w:t xml:space="preserve">komplexní </w:t>
      </w:r>
      <w:r w:rsidR="002101E8">
        <w:rPr>
          <w:b/>
        </w:rPr>
        <w:t xml:space="preserve">rekonstrukce </w:t>
      </w:r>
      <w:r w:rsidR="00151638">
        <w:rPr>
          <w:b/>
        </w:rPr>
        <w:t>technického zařízení</w:t>
      </w:r>
      <w:r w:rsidR="002101E8">
        <w:rPr>
          <w:b/>
        </w:rPr>
        <w:t>,</w:t>
      </w:r>
      <w:r w:rsidR="002101E8" w:rsidRPr="002101E8">
        <w:rPr>
          <w:b/>
        </w:rPr>
        <w:t xml:space="preserve"> </w:t>
      </w:r>
      <w:r w:rsidR="002101E8">
        <w:rPr>
          <w:b/>
        </w:rPr>
        <w:t xml:space="preserve">která umožní snížit provozní náklady o </w:t>
      </w:r>
      <w:r>
        <w:rPr>
          <w:b/>
        </w:rPr>
        <w:t xml:space="preserve">téměř </w:t>
      </w:r>
      <w:r w:rsidR="002101E8">
        <w:rPr>
          <w:b/>
        </w:rPr>
        <w:t xml:space="preserve">30 % ročně. Již </w:t>
      </w:r>
      <w:r w:rsidR="00615593">
        <w:rPr>
          <w:b/>
        </w:rPr>
        <w:t xml:space="preserve">první měsíce </w:t>
      </w:r>
      <w:r w:rsidR="002101E8">
        <w:rPr>
          <w:b/>
        </w:rPr>
        <w:t>však naznačuj</w:t>
      </w:r>
      <w:r w:rsidR="00615593">
        <w:rPr>
          <w:b/>
        </w:rPr>
        <w:t>í</w:t>
      </w:r>
      <w:r w:rsidR="002101E8">
        <w:rPr>
          <w:b/>
        </w:rPr>
        <w:t>, že procento</w:t>
      </w:r>
      <w:r w:rsidR="00807E14">
        <w:rPr>
          <w:b/>
        </w:rPr>
        <w:t xml:space="preserve"> úspor by mohlo </w:t>
      </w:r>
      <w:r w:rsidR="00D41C32">
        <w:rPr>
          <w:b/>
        </w:rPr>
        <w:t>být ještě vy</w:t>
      </w:r>
      <w:r w:rsidR="00807E14">
        <w:rPr>
          <w:b/>
        </w:rPr>
        <w:t>š</w:t>
      </w:r>
      <w:r w:rsidR="00D41C32">
        <w:rPr>
          <w:b/>
        </w:rPr>
        <w:t xml:space="preserve">ší. </w:t>
      </w:r>
      <w:r w:rsidR="00A76A4D">
        <w:rPr>
          <w:b/>
        </w:rPr>
        <w:t>Rekonstrukci</w:t>
      </w:r>
      <w:r w:rsidR="002101E8">
        <w:rPr>
          <w:b/>
        </w:rPr>
        <w:t xml:space="preserve"> za plného provozu</w:t>
      </w:r>
      <w:r w:rsidR="002101E8" w:rsidRPr="002101E8">
        <w:rPr>
          <w:b/>
        </w:rPr>
        <w:t xml:space="preserve"> </w:t>
      </w:r>
      <w:r w:rsidR="002101E8">
        <w:rPr>
          <w:b/>
        </w:rPr>
        <w:t>a podle plánu</w:t>
      </w:r>
      <w:r w:rsidR="00A76A4D">
        <w:rPr>
          <w:b/>
        </w:rPr>
        <w:t xml:space="preserve"> prováděla </w:t>
      </w:r>
      <w:r w:rsidR="002101E8">
        <w:rPr>
          <w:b/>
        </w:rPr>
        <w:t>společnost  ENESA a.s. z</w:t>
      </w:r>
      <w:r w:rsidR="002101E8" w:rsidRPr="00BE6D17">
        <w:rPr>
          <w:b/>
        </w:rPr>
        <w:t xml:space="preserve"> ČEZ ESCO</w:t>
      </w:r>
      <w:r w:rsidR="002101E8">
        <w:rPr>
          <w:b/>
        </w:rPr>
        <w:t>.</w:t>
      </w:r>
    </w:p>
    <w:p w14:paraId="5F15449D" w14:textId="77777777" w:rsidR="000E79B4" w:rsidRDefault="000E79B4" w:rsidP="000E79B4">
      <w:pPr>
        <w:spacing w:before="0" w:after="0" w:line="360" w:lineRule="auto"/>
        <w:rPr>
          <w:b/>
        </w:rPr>
      </w:pPr>
    </w:p>
    <w:p w14:paraId="235C6129" w14:textId="3C077295" w:rsidR="002101E8" w:rsidRPr="000E79B4" w:rsidRDefault="002101E8" w:rsidP="000E79B4">
      <w:pPr>
        <w:spacing w:before="0" w:after="0" w:line="360" w:lineRule="auto"/>
        <w:rPr>
          <w:sz w:val="24"/>
          <w:szCs w:val="24"/>
        </w:rPr>
      </w:pPr>
      <w:r w:rsidRPr="000E79B4">
        <w:rPr>
          <w:sz w:val="24"/>
          <w:szCs w:val="24"/>
        </w:rPr>
        <w:t xml:space="preserve">Od září 2015 do listopadu 2016 se v Kongresovém centru konalo téměř </w:t>
      </w:r>
      <w:r w:rsidR="001F3846" w:rsidRPr="000E79B4">
        <w:rPr>
          <w:sz w:val="24"/>
          <w:szCs w:val="24"/>
        </w:rPr>
        <w:t>200</w:t>
      </w:r>
      <w:r w:rsidRPr="000E79B4">
        <w:rPr>
          <w:sz w:val="24"/>
          <w:szCs w:val="24"/>
        </w:rPr>
        <w:t xml:space="preserve"> akcí a jeho branami prošlo </w:t>
      </w:r>
      <w:r w:rsidR="0044215E">
        <w:rPr>
          <w:sz w:val="24"/>
          <w:szCs w:val="24"/>
        </w:rPr>
        <w:t xml:space="preserve">přibližně </w:t>
      </w:r>
      <w:r w:rsidR="001F3846" w:rsidRPr="000E79B4">
        <w:rPr>
          <w:sz w:val="24"/>
          <w:szCs w:val="24"/>
        </w:rPr>
        <w:t>50</w:t>
      </w:r>
      <w:r w:rsidRPr="000E79B4">
        <w:rPr>
          <w:sz w:val="24"/>
          <w:szCs w:val="24"/>
        </w:rPr>
        <w:t xml:space="preserve">0 000 návštěvníků. </w:t>
      </w:r>
      <w:r w:rsidR="00D41C32" w:rsidRPr="000E79B4">
        <w:rPr>
          <w:sz w:val="24"/>
          <w:szCs w:val="24"/>
        </w:rPr>
        <w:t xml:space="preserve">Žádný </w:t>
      </w:r>
      <w:r w:rsidRPr="000E79B4">
        <w:rPr>
          <w:sz w:val="24"/>
          <w:szCs w:val="24"/>
        </w:rPr>
        <w:t>z nich neměl tušení, že v zázemí probíhá největší rekonstrukce technologických zařízení od 70. let, kdy bylo KCP postaveno. „V době, kdy jsme podepisovali smlouvu</w:t>
      </w:r>
      <w:r w:rsidR="00040995" w:rsidRPr="000E79B4">
        <w:rPr>
          <w:sz w:val="24"/>
          <w:szCs w:val="24"/>
        </w:rPr>
        <w:t>,</w:t>
      </w:r>
      <w:r w:rsidRPr="000E79B4">
        <w:rPr>
          <w:sz w:val="24"/>
          <w:szCs w:val="24"/>
        </w:rPr>
        <w:t xml:space="preserve"> mělo KCP </w:t>
      </w:r>
      <w:r w:rsidR="00040995" w:rsidRPr="000E79B4">
        <w:rPr>
          <w:sz w:val="24"/>
          <w:szCs w:val="24"/>
        </w:rPr>
        <w:t xml:space="preserve">dojednány </w:t>
      </w:r>
      <w:r w:rsidRPr="000E79B4">
        <w:rPr>
          <w:sz w:val="24"/>
          <w:szCs w:val="24"/>
        </w:rPr>
        <w:t xml:space="preserve">akce v hodnotě stovek miliónů korun a bylo jasné, že nesmí dojít k žádným kolizím. Každý větší zásah do provozu se tak musel vklínit do hluchých míst, kterých v případě KCP </w:t>
      </w:r>
      <w:r w:rsidR="00807E14" w:rsidRPr="000E79B4">
        <w:rPr>
          <w:sz w:val="24"/>
          <w:szCs w:val="24"/>
        </w:rPr>
        <w:t>je jen velmi málo</w:t>
      </w:r>
      <w:r w:rsidRPr="000E79B4">
        <w:rPr>
          <w:sz w:val="24"/>
          <w:szCs w:val="24"/>
        </w:rPr>
        <w:t>, “ vysvětluje Ivo Sla</w:t>
      </w:r>
      <w:r w:rsidR="00151638" w:rsidRPr="000E79B4">
        <w:rPr>
          <w:sz w:val="24"/>
          <w:szCs w:val="24"/>
        </w:rPr>
        <w:t>vo</w:t>
      </w:r>
      <w:r w:rsidRPr="000E79B4">
        <w:rPr>
          <w:sz w:val="24"/>
          <w:szCs w:val="24"/>
        </w:rPr>
        <w:t>tínek, ředitel společnosti ENESA a.s.</w:t>
      </w:r>
    </w:p>
    <w:p w14:paraId="2A0816A5" w14:textId="461807B9" w:rsidR="002101E8" w:rsidRPr="000E79B4" w:rsidRDefault="002101E8" w:rsidP="000E79B4">
      <w:pPr>
        <w:spacing w:before="0" w:after="0" w:line="360" w:lineRule="auto"/>
        <w:rPr>
          <w:sz w:val="24"/>
          <w:szCs w:val="24"/>
          <w:lang w:eastAsia="cs-CZ"/>
        </w:rPr>
      </w:pPr>
      <w:r w:rsidRPr="000E79B4">
        <w:rPr>
          <w:sz w:val="24"/>
          <w:szCs w:val="24"/>
        </w:rPr>
        <w:t>Rekonstrukce se týkala koteln</w:t>
      </w:r>
      <w:r w:rsidR="00151638" w:rsidRPr="000E79B4">
        <w:rPr>
          <w:sz w:val="24"/>
          <w:szCs w:val="24"/>
        </w:rPr>
        <w:t>y</w:t>
      </w:r>
      <w:r w:rsidRPr="000E79B4">
        <w:rPr>
          <w:sz w:val="24"/>
          <w:szCs w:val="24"/>
        </w:rPr>
        <w:t xml:space="preserve">, </w:t>
      </w:r>
      <w:r w:rsidRPr="000E79B4">
        <w:rPr>
          <w:sz w:val="24"/>
          <w:szCs w:val="24"/>
          <w:lang w:eastAsia="cs-CZ"/>
        </w:rPr>
        <w:t>strojovny chlazení a celé</w:t>
      </w:r>
      <w:r w:rsidR="00151638" w:rsidRPr="000E79B4">
        <w:rPr>
          <w:sz w:val="24"/>
          <w:szCs w:val="24"/>
          <w:lang w:eastAsia="cs-CZ"/>
        </w:rPr>
        <w:t>ho systému</w:t>
      </w:r>
      <w:r w:rsidRPr="000E79B4">
        <w:rPr>
          <w:sz w:val="24"/>
          <w:szCs w:val="24"/>
          <w:lang w:eastAsia="cs-CZ"/>
        </w:rPr>
        <w:t xml:space="preserve"> vzduchotechniky. Kompletní modernizací a rozšířením prošel systém měření a regulace. Obnovu si vyžádalo i</w:t>
      </w:r>
      <w:r w:rsidR="000E79B4">
        <w:rPr>
          <w:sz w:val="24"/>
          <w:szCs w:val="24"/>
          <w:lang w:eastAsia="cs-CZ"/>
        </w:rPr>
        <w:t> </w:t>
      </w:r>
      <w:r w:rsidRPr="000E79B4">
        <w:rPr>
          <w:sz w:val="24"/>
          <w:szCs w:val="24"/>
          <w:lang w:eastAsia="cs-CZ"/>
        </w:rPr>
        <w:t>osvětlení. Úpravy byly součástí</w:t>
      </w:r>
      <w:r w:rsidRPr="000E79B4">
        <w:rPr>
          <w:sz w:val="24"/>
          <w:szCs w:val="24"/>
        </w:rPr>
        <w:t xml:space="preserve"> energeticky úsporného projektu v hodnotě 126</w:t>
      </w:r>
      <w:r w:rsidR="00D41C32" w:rsidRPr="000E79B4">
        <w:rPr>
          <w:sz w:val="24"/>
          <w:szCs w:val="24"/>
        </w:rPr>
        <w:t xml:space="preserve"> mil. korun, který Kongresovému </w:t>
      </w:r>
      <w:r w:rsidRPr="000E79B4">
        <w:rPr>
          <w:sz w:val="24"/>
          <w:szCs w:val="24"/>
        </w:rPr>
        <w:t>centru Praha garantuje za 10 let celkovou úsporu 213 mil. Kč,</w:t>
      </w:r>
      <w:r w:rsidR="00D41C32" w:rsidRPr="000E79B4">
        <w:rPr>
          <w:sz w:val="24"/>
          <w:szCs w:val="24"/>
        </w:rPr>
        <w:t xml:space="preserve"> </w:t>
      </w:r>
      <w:r w:rsidRPr="000E79B4">
        <w:rPr>
          <w:sz w:val="24"/>
          <w:szCs w:val="24"/>
        </w:rPr>
        <w:t>ročně více jak 21</w:t>
      </w:r>
      <w:r w:rsidR="00B03D75" w:rsidRPr="000E79B4">
        <w:rPr>
          <w:sz w:val="24"/>
          <w:szCs w:val="24"/>
        </w:rPr>
        <w:t>,</w:t>
      </w:r>
      <w:r w:rsidR="00011A3C">
        <w:rPr>
          <w:sz w:val="24"/>
          <w:szCs w:val="24"/>
        </w:rPr>
        <w:t>3</w:t>
      </w:r>
      <w:r w:rsidRPr="000E79B4">
        <w:rPr>
          <w:sz w:val="24"/>
          <w:szCs w:val="24"/>
        </w:rPr>
        <w:t xml:space="preserve"> mil. Kč</w:t>
      </w:r>
      <w:r w:rsidR="00040995" w:rsidRPr="000E79B4">
        <w:rPr>
          <w:sz w:val="24"/>
          <w:szCs w:val="24"/>
        </w:rPr>
        <w:t xml:space="preserve">. </w:t>
      </w:r>
      <w:r w:rsidR="00040995" w:rsidRPr="000E79B4">
        <w:rPr>
          <w:sz w:val="24"/>
          <w:szCs w:val="24"/>
          <w:lang w:eastAsia="cs-CZ"/>
        </w:rPr>
        <w:t xml:space="preserve">To </w:t>
      </w:r>
      <w:r w:rsidRPr="000E79B4">
        <w:rPr>
          <w:sz w:val="24"/>
          <w:szCs w:val="24"/>
          <w:lang w:eastAsia="cs-CZ"/>
        </w:rPr>
        <w:t>představuje snížení spotřeby elektrické energie, plynu a vody o</w:t>
      </w:r>
      <w:r w:rsidR="000E79B4">
        <w:rPr>
          <w:sz w:val="24"/>
          <w:szCs w:val="24"/>
          <w:lang w:eastAsia="cs-CZ"/>
        </w:rPr>
        <w:t> </w:t>
      </w:r>
      <w:r w:rsidR="00F92C62" w:rsidRPr="000E79B4">
        <w:rPr>
          <w:sz w:val="24"/>
          <w:szCs w:val="24"/>
          <w:lang w:eastAsia="cs-CZ"/>
        </w:rPr>
        <w:t xml:space="preserve">téměř </w:t>
      </w:r>
      <w:r w:rsidRPr="000E79B4">
        <w:rPr>
          <w:sz w:val="24"/>
          <w:szCs w:val="24"/>
          <w:lang w:eastAsia="cs-CZ"/>
        </w:rPr>
        <w:t>30 %.</w:t>
      </w:r>
      <w:r w:rsidR="000E47C2" w:rsidRPr="000E79B4">
        <w:rPr>
          <w:sz w:val="24"/>
          <w:szCs w:val="24"/>
          <w:lang w:eastAsia="cs-CZ"/>
        </w:rPr>
        <w:t xml:space="preserve"> „Rekonstrukce byla mi</w:t>
      </w:r>
      <w:r w:rsidR="00FD5504" w:rsidRPr="000E79B4">
        <w:rPr>
          <w:sz w:val="24"/>
          <w:szCs w:val="24"/>
          <w:lang w:eastAsia="cs-CZ"/>
        </w:rPr>
        <w:t>mořádně rozsáhlá a zpočátku jsme</w:t>
      </w:r>
      <w:r w:rsidR="000E47C2" w:rsidRPr="000E79B4">
        <w:rPr>
          <w:sz w:val="24"/>
          <w:szCs w:val="24"/>
          <w:lang w:eastAsia="cs-CZ"/>
        </w:rPr>
        <w:t xml:space="preserve"> měli obavy, ale vše dopadlo dobře. Nyní čekáme, jaké </w:t>
      </w:r>
      <w:r w:rsidR="00FD5504" w:rsidRPr="000E79B4">
        <w:rPr>
          <w:sz w:val="24"/>
          <w:szCs w:val="24"/>
          <w:lang w:eastAsia="cs-CZ"/>
        </w:rPr>
        <w:t xml:space="preserve">výsledné </w:t>
      </w:r>
      <w:r w:rsidR="000E47C2" w:rsidRPr="000E79B4">
        <w:rPr>
          <w:sz w:val="24"/>
          <w:szCs w:val="24"/>
          <w:lang w:eastAsia="cs-CZ"/>
        </w:rPr>
        <w:t>úspory nám tato opatření přinesou,“ shrnuje Ing.</w:t>
      </w:r>
      <w:r w:rsidR="000E79B4">
        <w:rPr>
          <w:sz w:val="24"/>
          <w:szCs w:val="24"/>
          <w:lang w:eastAsia="cs-CZ"/>
        </w:rPr>
        <w:t> </w:t>
      </w:r>
      <w:r w:rsidR="000E47C2" w:rsidRPr="000E79B4">
        <w:rPr>
          <w:sz w:val="24"/>
          <w:szCs w:val="24"/>
          <w:lang w:eastAsia="cs-CZ"/>
        </w:rPr>
        <w:t>Luděk Bednář technicko-provozní ředitel</w:t>
      </w:r>
      <w:r w:rsidR="0080092D" w:rsidRPr="000E79B4">
        <w:rPr>
          <w:sz w:val="24"/>
          <w:szCs w:val="24"/>
          <w:lang w:eastAsia="cs-CZ"/>
        </w:rPr>
        <w:t>.</w:t>
      </w:r>
    </w:p>
    <w:p w14:paraId="13598CFD" w14:textId="596316BB" w:rsidR="00F92C62" w:rsidRPr="000E79B4" w:rsidRDefault="002101E8" w:rsidP="000E79B4">
      <w:pPr>
        <w:spacing w:before="0" w:after="0" w:line="360" w:lineRule="auto"/>
        <w:rPr>
          <w:sz w:val="24"/>
          <w:szCs w:val="24"/>
        </w:rPr>
      </w:pPr>
      <w:r w:rsidRPr="000E79B4">
        <w:rPr>
          <w:sz w:val="24"/>
          <w:szCs w:val="24"/>
        </w:rPr>
        <w:t xml:space="preserve">Projekt je řešen pomocí energetických služeb se zárukou úspor (EPC), Kongresové centrum Praha má proto </w:t>
      </w:r>
      <w:r w:rsidR="00807E14" w:rsidRPr="000E79B4">
        <w:rPr>
          <w:sz w:val="24"/>
          <w:szCs w:val="24"/>
        </w:rPr>
        <w:t xml:space="preserve">každoročně </w:t>
      </w:r>
      <w:r w:rsidRPr="000E79B4">
        <w:rPr>
          <w:sz w:val="24"/>
          <w:szCs w:val="24"/>
        </w:rPr>
        <w:t>svých 21</w:t>
      </w:r>
      <w:r w:rsidR="00B03D75" w:rsidRPr="000E79B4">
        <w:rPr>
          <w:sz w:val="24"/>
          <w:szCs w:val="24"/>
        </w:rPr>
        <w:t>,9</w:t>
      </w:r>
      <w:r w:rsidRPr="000E79B4">
        <w:rPr>
          <w:sz w:val="24"/>
          <w:szCs w:val="24"/>
        </w:rPr>
        <w:t xml:space="preserve"> mil. korun jistých – ať už ve formě ušetřených </w:t>
      </w:r>
      <w:r w:rsidRPr="000E79B4">
        <w:rPr>
          <w:sz w:val="24"/>
          <w:szCs w:val="24"/>
        </w:rPr>
        <w:lastRenderedPageBreak/>
        <w:t xml:space="preserve">provozních nákladů, nebo od poskytovatele projektu, který se smluvně </w:t>
      </w:r>
      <w:r w:rsidR="00807E14" w:rsidRPr="000E79B4">
        <w:rPr>
          <w:sz w:val="24"/>
          <w:szCs w:val="24"/>
        </w:rPr>
        <w:t>zavazuje</w:t>
      </w:r>
      <w:r w:rsidRPr="000E79B4">
        <w:rPr>
          <w:sz w:val="24"/>
          <w:szCs w:val="24"/>
        </w:rPr>
        <w:t xml:space="preserve"> uhradit případný rozdíl mezi garantovanou a skutečnou úsporou. </w:t>
      </w:r>
      <w:r w:rsidR="00F92C62" w:rsidRPr="000E79B4">
        <w:rPr>
          <w:sz w:val="24"/>
          <w:szCs w:val="24"/>
        </w:rPr>
        <w:t>„</w:t>
      </w:r>
      <w:r w:rsidRPr="000E79B4">
        <w:rPr>
          <w:sz w:val="24"/>
          <w:szCs w:val="24"/>
        </w:rPr>
        <w:t xml:space="preserve">Výsledky </w:t>
      </w:r>
      <w:r w:rsidR="00615593" w:rsidRPr="000E79B4">
        <w:rPr>
          <w:sz w:val="24"/>
          <w:szCs w:val="24"/>
        </w:rPr>
        <w:t xml:space="preserve">dosažené od dubna 2016 </w:t>
      </w:r>
      <w:r w:rsidRPr="000E79B4">
        <w:rPr>
          <w:sz w:val="24"/>
          <w:szCs w:val="24"/>
        </w:rPr>
        <w:t xml:space="preserve">jsou slibné. Ve srování s rokem 2013 se spotřeba energie za posledních 10 měsíců </w:t>
      </w:r>
      <w:r w:rsidR="00B03D75" w:rsidRPr="000E79B4">
        <w:rPr>
          <w:sz w:val="24"/>
          <w:szCs w:val="24"/>
        </w:rPr>
        <w:t xml:space="preserve">výrazně </w:t>
      </w:r>
      <w:r w:rsidRPr="000E79B4">
        <w:rPr>
          <w:sz w:val="24"/>
          <w:szCs w:val="24"/>
        </w:rPr>
        <w:t>snížila</w:t>
      </w:r>
      <w:r w:rsidR="00F92C62" w:rsidRPr="000E79B4">
        <w:rPr>
          <w:sz w:val="24"/>
          <w:szCs w:val="24"/>
        </w:rPr>
        <w:t xml:space="preserve">. </w:t>
      </w:r>
      <w:r w:rsidR="00615593" w:rsidRPr="000E79B4">
        <w:rPr>
          <w:sz w:val="24"/>
          <w:szCs w:val="24"/>
        </w:rPr>
        <w:t>Již nyní víme</w:t>
      </w:r>
      <w:r w:rsidR="00F92C62" w:rsidRPr="000E79B4">
        <w:rPr>
          <w:sz w:val="24"/>
          <w:szCs w:val="24"/>
        </w:rPr>
        <w:t>, že garantovan</w:t>
      </w:r>
      <w:r w:rsidR="00615593" w:rsidRPr="000E79B4">
        <w:rPr>
          <w:sz w:val="24"/>
          <w:szCs w:val="24"/>
        </w:rPr>
        <w:t>á</w:t>
      </w:r>
      <w:r w:rsidR="00F92C62" w:rsidRPr="000E79B4">
        <w:rPr>
          <w:sz w:val="24"/>
          <w:szCs w:val="24"/>
        </w:rPr>
        <w:t xml:space="preserve"> úspor</w:t>
      </w:r>
      <w:r w:rsidR="00615593" w:rsidRPr="000E79B4">
        <w:rPr>
          <w:sz w:val="24"/>
          <w:szCs w:val="24"/>
        </w:rPr>
        <w:t>a</w:t>
      </w:r>
      <w:r w:rsidR="00F92C62" w:rsidRPr="000E79B4">
        <w:rPr>
          <w:sz w:val="24"/>
          <w:szCs w:val="24"/>
        </w:rPr>
        <w:t>, která je v prvním roce fungování projektu nižší a</w:t>
      </w:r>
      <w:r w:rsidR="000E79B4">
        <w:rPr>
          <w:sz w:val="24"/>
          <w:szCs w:val="24"/>
        </w:rPr>
        <w:t> </w:t>
      </w:r>
      <w:r w:rsidR="00F92C62" w:rsidRPr="000E79B4">
        <w:rPr>
          <w:sz w:val="24"/>
          <w:szCs w:val="24"/>
        </w:rPr>
        <w:t>činí</w:t>
      </w:r>
      <w:r w:rsidR="00151638" w:rsidRPr="000E79B4">
        <w:rPr>
          <w:sz w:val="24"/>
          <w:szCs w:val="24"/>
        </w:rPr>
        <w:t xml:space="preserve"> </w:t>
      </w:r>
      <w:r w:rsidR="00B03D75" w:rsidRPr="000E79B4">
        <w:rPr>
          <w:sz w:val="24"/>
          <w:szCs w:val="24"/>
        </w:rPr>
        <w:t>16,4 mil. korun</w:t>
      </w:r>
      <w:r w:rsidR="00F92C62" w:rsidRPr="000E79B4">
        <w:rPr>
          <w:sz w:val="24"/>
          <w:szCs w:val="24"/>
        </w:rPr>
        <w:t>, bude</w:t>
      </w:r>
      <w:r w:rsidR="00615593" w:rsidRPr="000E79B4">
        <w:rPr>
          <w:sz w:val="24"/>
          <w:szCs w:val="24"/>
        </w:rPr>
        <w:t xml:space="preserve"> výrazně překročena</w:t>
      </w:r>
      <w:r w:rsidR="00FD5504" w:rsidRPr="000E79B4">
        <w:rPr>
          <w:sz w:val="24"/>
          <w:szCs w:val="24"/>
        </w:rPr>
        <w:t>,“ komentuje první výsledky</w:t>
      </w:r>
      <w:r w:rsidR="00F92C62" w:rsidRPr="000E79B4">
        <w:rPr>
          <w:sz w:val="24"/>
          <w:szCs w:val="24"/>
        </w:rPr>
        <w:t xml:space="preserve"> Ivo Slavotínek, ředitel společnosti ENESA a.s.</w:t>
      </w:r>
    </w:p>
    <w:p w14:paraId="6D827F9A" w14:textId="6A8FFF69" w:rsidR="002101E8" w:rsidRDefault="002101E8" w:rsidP="000E79B4">
      <w:pPr>
        <w:spacing w:before="0" w:after="0" w:line="360" w:lineRule="auto"/>
      </w:pPr>
      <w:r w:rsidRPr="000E79B4">
        <w:rPr>
          <w:sz w:val="24"/>
          <w:szCs w:val="24"/>
        </w:rPr>
        <w:t xml:space="preserve">ENESA je zainteresována na dalším zvyšování energetické efektivnosti v KCP. K tomu využije energetický management, jehož přínosy si již ověřila na několika obdobných objektech jako bylo například Národní divadlo, </w:t>
      </w:r>
      <w:r w:rsidR="00FD5504" w:rsidRPr="000E79B4">
        <w:rPr>
          <w:sz w:val="24"/>
          <w:szCs w:val="24"/>
        </w:rPr>
        <w:t>Česká</w:t>
      </w:r>
      <w:r w:rsidR="00151638" w:rsidRPr="000E79B4">
        <w:rPr>
          <w:sz w:val="24"/>
          <w:szCs w:val="24"/>
        </w:rPr>
        <w:t xml:space="preserve"> filharmonie – budova </w:t>
      </w:r>
      <w:r w:rsidRPr="000E79B4">
        <w:rPr>
          <w:sz w:val="24"/>
          <w:szCs w:val="24"/>
        </w:rPr>
        <w:t>Rudolfin</w:t>
      </w:r>
      <w:r w:rsidR="00151638" w:rsidRPr="000E79B4">
        <w:rPr>
          <w:sz w:val="24"/>
          <w:szCs w:val="24"/>
        </w:rPr>
        <w:t>a</w:t>
      </w:r>
      <w:r w:rsidRPr="000E79B4">
        <w:rPr>
          <w:sz w:val="24"/>
          <w:szCs w:val="24"/>
        </w:rPr>
        <w:t>, Stavovské divadlo a</w:t>
      </w:r>
      <w:r w:rsidR="000E79B4">
        <w:rPr>
          <w:sz w:val="24"/>
          <w:szCs w:val="24"/>
        </w:rPr>
        <w:t> </w:t>
      </w:r>
      <w:r w:rsidRPr="000E79B4">
        <w:rPr>
          <w:sz w:val="24"/>
          <w:szCs w:val="24"/>
        </w:rPr>
        <w:t>další.</w:t>
      </w:r>
      <w:r>
        <w:t xml:space="preserve">   </w:t>
      </w:r>
    </w:p>
    <w:p w14:paraId="3E4E0D3B" w14:textId="77777777" w:rsidR="00F03204" w:rsidRDefault="00F03204" w:rsidP="000E79B4">
      <w:pPr>
        <w:spacing w:before="0" w:after="0" w:line="360" w:lineRule="auto"/>
        <w:rPr>
          <w:rStyle w:val="normalchar"/>
          <w:rFonts w:ascii="Calibri" w:eastAsia="Times New Roman" w:hAnsi="Calibri" w:cs="Calibri"/>
          <w:iCs/>
          <w:noProof w:val="0"/>
          <w:sz w:val="20"/>
          <w:szCs w:val="20"/>
          <w:lang w:eastAsia="cs-CZ"/>
        </w:rPr>
      </w:pPr>
    </w:p>
    <w:p w14:paraId="77AFA85F" w14:textId="77777777" w:rsidR="00601672" w:rsidRDefault="00601672" w:rsidP="000E79B4">
      <w:pPr>
        <w:spacing w:before="0" w:after="0" w:line="360" w:lineRule="auto"/>
        <w:rPr>
          <w:rStyle w:val="normalchar"/>
          <w:rFonts w:ascii="Calibri" w:eastAsia="Times New Roman" w:hAnsi="Calibri" w:cs="Calibri"/>
          <w:iCs/>
          <w:noProof w:val="0"/>
          <w:sz w:val="20"/>
          <w:szCs w:val="20"/>
          <w:lang w:eastAsia="cs-CZ"/>
        </w:rPr>
      </w:pPr>
    </w:p>
    <w:p w14:paraId="28DB3B0D" w14:textId="77777777" w:rsidR="00601672" w:rsidRDefault="00601672" w:rsidP="000E79B4">
      <w:pPr>
        <w:spacing w:before="0" w:after="0" w:line="360" w:lineRule="auto"/>
        <w:rPr>
          <w:rStyle w:val="normalchar"/>
          <w:rFonts w:ascii="Calibri" w:eastAsia="Times New Roman" w:hAnsi="Calibri" w:cs="Calibri"/>
          <w:iCs/>
          <w:noProof w:val="0"/>
          <w:sz w:val="20"/>
          <w:szCs w:val="20"/>
          <w:lang w:eastAsia="cs-CZ"/>
        </w:rPr>
      </w:pPr>
    </w:p>
    <w:p w14:paraId="7D7522FB" w14:textId="11CBFF68" w:rsidR="00601672" w:rsidRPr="00601672" w:rsidRDefault="00601672" w:rsidP="000E79B4">
      <w:pPr>
        <w:spacing w:before="0" w:after="0" w:line="360" w:lineRule="auto"/>
        <w:rPr>
          <w:rStyle w:val="normalchar"/>
          <w:rFonts w:ascii="Calibri" w:eastAsia="Times New Roman" w:hAnsi="Calibri" w:cs="Calibri"/>
          <w:iCs/>
          <w:noProof w:val="0"/>
          <w:sz w:val="20"/>
          <w:szCs w:val="20"/>
          <w:lang w:eastAsia="cs-CZ"/>
        </w:rPr>
      </w:pPr>
      <w:r>
        <w:rPr>
          <w:rStyle w:val="normalchar"/>
          <w:rFonts w:ascii="Calibri" w:eastAsia="Times New Roman" w:hAnsi="Calibri" w:cs="Calibri"/>
          <w:iCs/>
          <w:noProof w:val="0"/>
          <w:sz w:val="20"/>
          <w:szCs w:val="20"/>
          <w:lang w:eastAsia="cs-CZ"/>
        </w:rPr>
        <w:t>___________________________________________________________________________________________</w:t>
      </w:r>
    </w:p>
    <w:p w14:paraId="6C36731D" w14:textId="122C087B" w:rsidR="00FD5504" w:rsidRPr="00186AB3" w:rsidRDefault="00FD5504" w:rsidP="00186AB3">
      <w:pPr>
        <w:spacing w:before="0" w:after="0" w:line="240" w:lineRule="auto"/>
        <w:rPr>
          <w:rStyle w:val="normalchar"/>
          <w:rFonts w:ascii="Calibri" w:eastAsia="Times New Roman" w:hAnsi="Calibri" w:cs="Calibri"/>
          <w:b/>
          <w:i/>
          <w:iCs/>
          <w:noProof w:val="0"/>
          <w:sz w:val="20"/>
          <w:szCs w:val="20"/>
          <w:lang w:eastAsia="cs-CZ"/>
        </w:rPr>
      </w:pPr>
      <w:r w:rsidRPr="00186AB3">
        <w:rPr>
          <w:rStyle w:val="normalchar"/>
          <w:rFonts w:ascii="Calibri" w:eastAsia="Times New Roman" w:hAnsi="Calibri" w:cs="Calibri"/>
          <w:b/>
          <w:i/>
          <w:iCs/>
          <w:noProof w:val="0"/>
          <w:sz w:val="20"/>
          <w:szCs w:val="20"/>
          <w:lang w:eastAsia="cs-CZ"/>
        </w:rPr>
        <w:t>Kongresové centrum Praha:</w:t>
      </w:r>
    </w:p>
    <w:p w14:paraId="34D20F32" w14:textId="651766AA" w:rsidR="00FD5504" w:rsidRPr="00186AB3" w:rsidRDefault="00FD5504" w:rsidP="00186AB3">
      <w:pPr>
        <w:spacing w:before="0" w:after="0" w:line="240" w:lineRule="auto"/>
        <w:rPr>
          <w:rStyle w:val="normalchar"/>
          <w:rFonts w:ascii="Calibri" w:eastAsia="Times New Roman" w:hAnsi="Calibri" w:cs="Calibri"/>
          <w:i/>
          <w:iCs/>
          <w:noProof w:val="0"/>
          <w:sz w:val="20"/>
          <w:szCs w:val="20"/>
          <w:lang w:eastAsia="cs-CZ"/>
        </w:rPr>
      </w:pPr>
      <w:r w:rsidRPr="00186AB3">
        <w:rPr>
          <w:rStyle w:val="normalchar"/>
          <w:rFonts w:ascii="Calibri" w:eastAsia="Times New Roman" w:hAnsi="Calibri" w:cs="Calibri"/>
          <w:i/>
          <w:iCs/>
          <w:noProof w:val="0"/>
          <w:sz w:val="20"/>
          <w:szCs w:val="20"/>
          <w:lang w:eastAsia="cs-CZ"/>
        </w:rPr>
        <w:t xml:space="preserve">Kongresové centrum Praha, a.s. je největším kongresovým centrem v České republice. Na 13 000 m²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 Business Centre Vyšehrad a čtyřhvězdičkový hotel </w:t>
      </w:r>
      <w:proofErr w:type="spellStart"/>
      <w:r w:rsidRPr="00186AB3">
        <w:rPr>
          <w:rStyle w:val="normalchar"/>
          <w:rFonts w:ascii="Calibri" w:eastAsia="Times New Roman" w:hAnsi="Calibri" w:cs="Calibri"/>
          <w:i/>
          <w:iCs/>
          <w:noProof w:val="0"/>
          <w:sz w:val="20"/>
          <w:szCs w:val="20"/>
          <w:lang w:eastAsia="cs-CZ"/>
        </w:rPr>
        <w:t>Holiday</w:t>
      </w:r>
      <w:proofErr w:type="spellEnd"/>
      <w:r w:rsidRPr="00186AB3">
        <w:rPr>
          <w:rStyle w:val="normalchar"/>
          <w:rFonts w:ascii="Calibri" w:eastAsia="Times New Roman" w:hAnsi="Calibri" w:cs="Calibri"/>
          <w:i/>
          <w:iCs/>
          <w:noProof w:val="0"/>
          <w:sz w:val="20"/>
          <w:szCs w:val="20"/>
          <w:lang w:eastAsia="cs-CZ"/>
        </w:rPr>
        <w:t xml:space="preserve"> Inn Prague </w:t>
      </w:r>
      <w:proofErr w:type="spellStart"/>
      <w:r w:rsidRPr="00186AB3">
        <w:rPr>
          <w:rStyle w:val="normalchar"/>
          <w:rFonts w:ascii="Calibri" w:eastAsia="Times New Roman" w:hAnsi="Calibri" w:cs="Calibri"/>
          <w:i/>
          <w:iCs/>
          <w:noProof w:val="0"/>
          <w:sz w:val="20"/>
          <w:szCs w:val="20"/>
          <w:lang w:eastAsia="cs-CZ"/>
        </w:rPr>
        <w:t>Congress</w:t>
      </w:r>
      <w:proofErr w:type="spellEnd"/>
      <w:r w:rsidRPr="00186AB3">
        <w:rPr>
          <w:rStyle w:val="normalchar"/>
          <w:rFonts w:ascii="Calibri" w:eastAsia="Times New Roman" w:hAnsi="Calibri" w:cs="Calibri"/>
          <w:i/>
          <w:iCs/>
          <w:noProof w:val="0"/>
          <w:sz w:val="20"/>
          <w:szCs w:val="20"/>
          <w:lang w:eastAsia="cs-CZ"/>
        </w:rPr>
        <w:t xml:space="preserve"> Centre s kapacitou 251 pokojů. KCP získalo certifikát EKO Gold za čerpání energie z</w:t>
      </w:r>
      <w:r w:rsidR="000E79B4" w:rsidRPr="00186AB3">
        <w:rPr>
          <w:rStyle w:val="normalchar"/>
          <w:rFonts w:ascii="Calibri" w:eastAsia="Times New Roman" w:hAnsi="Calibri" w:cs="Calibri"/>
          <w:i/>
          <w:iCs/>
          <w:noProof w:val="0"/>
          <w:sz w:val="20"/>
          <w:szCs w:val="20"/>
          <w:lang w:eastAsia="cs-CZ"/>
        </w:rPr>
        <w:t> </w:t>
      </w:r>
      <w:r w:rsidRPr="00186AB3">
        <w:rPr>
          <w:rStyle w:val="normalchar"/>
          <w:rFonts w:ascii="Calibri" w:eastAsia="Times New Roman" w:hAnsi="Calibri" w:cs="Calibri"/>
          <w:i/>
          <w:iCs/>
          <w:noProof w:val="0"/>
          <w:sz w:val="20"/>
          <w:szCs w:val="20"/>
          <w:lang w:eastAsia="cs-CZ"/>
        </w:rPr>
        <w:t xml:space="preserve">obnovitelných zdrojů. </w:t>
      </w:r>
    </w:p>
    <w:p w14:paraId="42FB771A" w14:textId="6DDB5591" w:rsidR="00275471" w:rsidRDefault="00275471" w:rsidP="00186AB3">
      <w:pPr>
        <w:spacing w:before="0" w:after="0" w:line="240" w:lineRule="auto"/>
        <w:rPr>
          <w:rStyle w:val="Hypertextovodkaz"/>
          <w:rFonts w:ascii="Calibri" w:hAnsi="Calibri" w:cs="Calibri"/>
          <w:i/>
          <w:iCs/>
          <w:sz w:val="20"/>
          <w:szCs w:val="20"/>
        </w:rPr>
      </w:pP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Více </w:t>
      </w:r>
      <w:r w:rsidR="00150EA3"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o Kongresovém centru Praha, a.s. </w:t>
      </w: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na </w:t>
      </w:r>
      <w:hyperlink r:id="rId8" w:history="1">
        <w:r w:rsidR="00150EA3" w:rsidRPr="00186AB3">
          <w:rPr>
            <w:rStyle w:val="Hypertextovodkaz"/>
            <w:rFonts w:ascii="Calibri" w:hAnsi="Calibri" w:cs="Calibri"/>
            <w:i/>
            <w:iCs/>
            <w:sz w:val="20"/>
            <w:szCs w:val="20"/>
          </w:rPr>
          <w:t>http://www.kcp.cz/</w:t>
        </w:r>
      </w:hyperlink>
      <w:r w:rsidR="00AA5188">
        <w:rPr>
          <w:rStyle w:val="Hypertextovodkaz"/>
          <w:rFonts w:ascii="Calibri" w:hAnsi="Calibri" w:cs="Calibri"/>
          <w:i/>
          <w:iCs/>
          <w:sz w:val="20"/>
          <w:szCs w:val="20"/>
        </w:rPr>
        <w:t>.</w:t>
      </w:r>
    </w:p>
    <w:p w14:paraId="143BAF0C" w14:textId="77777777" w:rsidR="00186AB3" w:rsidRPr="00186AB3" w:rsidRDefault="00186AB3" w:rsidP="00186AB3">
      <w:pPr>
        <w:spacing w:before="0" w:after="0" w:line="240" w:lineRule="auto"/>
        <w:rPr>
          <w:rStyle w:val="Hypertextovodkaz"/>
          <w:rFonts w:ascii="Calibri" w:hAnsi="Calibri" w:cs="Calibri"/>
          <w:i/>
          <w:iCs/>
          <w:sz w:val="20"/>
          <w:szCs w:val="20"/>
        </w:rPr>
      </w:pPr>
    </w:p>
    <w:p w14:paraId="0E3F9B1B" w14:textId="392E0EA9" w:rsidR="0005630D" w:rsidRPr="00186AB3" w:rsidRDefault="0005630D" w:rsidP="00186AB3">
      <w:pPr>
        <w:spacing w:before="0" w:after="0" w:line="240" w:lineRule="auto"/>
        <w:rPr>
          <w:rStyle w:val="normalchar"/>
          <w:rFonts w:ascii="Calibri" w:hAnsi="Calibri" w:cs="Calibri"/>
          <w:b/>
          <w:i/>
          <w:iCs/>
          <w:sz w:val="20"/>
          <w:szCs w:val="20"/>
        </w:rPr>
      </w:pPr>
      <w:r w:rsidRPr="00186AB3">
        <w:rPr>
          <w:rStyle w:val="normalchar"/>
          <w:rFonts w:ascii="Calibri" w:hAnsi="Calibri" w:cs="Calibri"/>
          <w:b/>
          <w:i/>
          <w:iCs/>
          <w:sz w:val="20"/>
          <w:szCs w:val="20"/>
        </w:rPr>
        <w:t>ENESA a.s.:</w:t>
      </w:r>
    </w:p>
    <w:p w14:paraId="1CA2ABD5" w14:textId="7EE2090E" w:rsidR="0005630D" w:rsidRPr="00186AB3" w:rsidRDefault="0005630D" w:rsidP="007C77F1">
      <w:pPr>
        <w:spacing w:before="0" w:after="0" w:line="240" w:lineRule="auto"/>
        <w:rPr>
          <w:rStyle w:val="normalchar"/>
          <w:rFonts w:ascii="Calibri" w:hAnsi="Calibri" w:cs="Calibri"/>
          <w:i/>
          <w:iCs/>
          <w:sz w:val="20"/>
          <w:szCs w:val="20"/>
        </w:rPr>
      </w:pP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ENESA a.s. je největší česká společnost poskytující výhradně energetické služby (zvl. metodou Energy Performance Contracting, EPC) včetně energetického managementu v ČR. Za 12 let své existence zavedla energeticky úsporná opatření ve  203 objektech. Při celkové investici přesahující 1 miliardu Kč ušetřily zákazníkům její projekty na provozních nákladech přes 800 mil. Kč. V roce 2016 byly realizovány energeticky úsporné projekty metodou EPC v objektech v majetku města Jablonce nad Nisou a </w:t>
      </w:r>
      <w:r w:rsidR="001F3846"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v </w:t>
      </w: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Kongresovém centru Praha. V předchozím roce pak </w:t>
      </w:r>
      <w:r w:rsidRPr="00186AB3">
        <w:rPr>
          <w:rStyle w:val="normalchar"/>
          <w:rFonts w:ascii="Calibri" w:hAnsi="Calibri"/>
          <w:i/>
          <w:iCs/>
          <w:sz w:val="20"/>
          <w:szCs w:val="20"/>
        </w:rPr>
        <w:t xml:space="preserve"> v Rudolfinu, v Ateliérech ND, v nemocnicích ve Svidníku, Žiaru nad Hronom a Trebišově a</w:t>
      </w:r>
      <w:r w:rsidR="000E79B4" w:rsidRPr="00186AB3">
        <w:rPr>
          <w:rStyle w:val="normalchar"/>
          <w:rFonts w:ascii="Calibri" w:hAnsi="Calibri"/>
          <w:i/>
          <w:iCs/>
          <w:sz w:val="20"/>
          <w:szCs w:val="20"/>
        </w:rPr>
        <w:t> </w:t>
      </w:r>
      <w:r w:rsidRPr="00186AB3">
        <w:rPr>
          <w:rStyle w:val="normalchar"/>
          <w:rFonts w:ascii="Calibri" w:hAnsi="Calibri"/>
          <w:i/>
          <w:iCs/>
          <w:sz w:val="20"/>
          <w:szCs w:val="20"/>
        </w:rPr>
        <w:t xml:space="preserve"> ve strojírenském podniku BUZULUK Komárov </w:t>
      </w: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Od roku 2015 je </w:t>
      </w:r>
      <w:r w:rsidR="001F3846"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společnost </w:t>
      </w: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>součástí ČEZ ESCO ze Skupiny ČEZ.</w:t>
      </w:r>
    </w:p>
    <w:p w14:paraId="642736AC" w14:textId="0FA061FB" w:rsidR="0005630D" w:rsidRDefault="0005630D" w:rsidP="007C77F1">
      <w:pPr>
        <w:pStyle w:val="Zkladntext"/>
        <w:tabs>
          <w:tab w:val="left" w:pos="3686"/>
        </w:tabs>
        <w:spacing w:before="0" w:line="240" w:lineRule="auto"/>
        <w:rPr>
          <w:rStyle w:val="normalchar"/>
          <w:rFonts w:ascii="Calibri" w:hAnsi="Calibri" w:cs="Calibri"/>
          <w:i/>
          <w:iCs/>
          <w:sz w:val="20"/>
          <w:szCs w:val="20"/>
        </w:rPr>
      </w:pP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>Kvalitu služeb společnosti ENESA dokládají významná ocenění. V roce 2014 ocenila Evropská iniciativa pro energetické služby (EESA) EPC projekt v Nemocnici Jihlava titulem „</w:t>
      </w:r>
      <w:r w:rsidRPr="00186AB3">
        <w:rPr>
          <w:rStyle w:val="normalchar"/>
          <w:rFonts w:ascii="Calibri" w:hAnsi="Calibri" w:cs="Calibri"/>
          <w:b/>
          <w:i/>
          <w:iCs/>
          <w:sz w:val="20"/>
          <w:szCs w:val="20"/>
        </w:rPr>
        <w:t>Nejlepší evropský projekt energetických služeb“</w:t>
      </w: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>. V roce 2009 obdržela společnost ENESA od EESA ocenění „</w:t>
      </w:r>
      <w:r w:rsidRPr="00186AB3">
        <w:rPr>
          <w:rStyle w:val="normalchar"/>
          <w:rFonts w:ascii="Calibri" w:hAnsi="Calibri" w:cs="Calibri"/>
          <w:b/>
          <w:i/>
          <w:iCs/>
          <w:sz w:val="20"/>
          <w:szCs w:val="20"/>
        </w:rPr>
        <w:t>Nejlepší evropský poskytovatel energetických služeb za rok 2009“</w:t>
      </w: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>. O rok později si odnesla titul „</w:t>
      </w:r>
      <w:r w:rsidRPr="00186AB3">
        <w:rPr>
          <w:rStyle w:val="normalchar"/>
          <w:rFonts w:ascii="Calibri" w:hAnsi="Calibri" w:cs="Calibri"/>
          <w:b/>
          <w:i/>
          <w:iCs/>
          <w:sz w:val="20"/>
          <w:szCs w:val="20"/>
        </w:rPr>
        <w:t>Nejlepší projekt v kategorii</w:t>
      </w:r>
      <w:r w:rsidRPr="00186AB3">
        <w:rPr>
          <w:rStyle w:val="strongchar"/>
          <w:rFonts w:ascii="Calibri" w:hAnsi="Calibri" w:cs="Calibri"/>
          <w:b/>
          <w:i/>
          <w:iCs/>
          <w:sz w:val="20"/>
          <w:szCs w:val="20"/>
        </w:rPr>
        <w:t xml:space="preserve"> OHEŇ</w:t>
      </w:r>
      <w:r w:rsidRPr="00186AB3">
        <w:rPr>
          <w:rStyle w:val="strongchar"/>
          <w:rFonts w:ascii="Calibri" w:hAnsi="Calibri" w:cs="Calibri"/>
          <w:i/>
          <w:iCs/>
          <w:sz w:val="20"/>
          <w:szCs w:val="20"/>
        </w:rPr>
        <w:t>“</w:t>
      </w: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 z</w:t>
      </w:r>
      <w:r w:rsidR="000E79B4" w:rsidRPr="00186AB3">
        <w:rPr>
          <w:rStyle w:val="normalchar"/>
          <w:rFonts w:ascii="Calibri" w:hAnsi="Calibri" w:cs="Calibri"/>
          <w:i/>
          <w:iCs/>
          <w:sz w:val="20"/>
          <w:szCs w:val="20"/>
        </w:rPr>
        <w:t> </w:t>
      </w: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národního kola </w:t>
      </w:r>
      <w:r w:rsidR="000E79B4" w:rsidRPr="00186AB3">
        <w:rPr>
          <w:rStyle w:val="normalchar"/>
          <w:rFonts w:ascii="Calibri" w:hAnsi="Calibri" w:cs="Calibri"/>
          <w:i/>
          <w:iCs/>
          <w:sz w:val="20"/>
          <w:szCs w:val="20"/>
        </w:rPr>
        <w:t>ankety</w:t>
      </w:r>
      <w:r w:rsidR="000E79B4" w:rsidRPr="00186AB3">
        <w:rPr>
          <w:rStyle w:val="strongchar"/>
          <w:rFonts w:ascii="Calibri" w:hAnsi="Calibri" w:cs="Calibri"/>
          <w:i/>
          <w:iCs/>
          <w:sz w:val="20"/>
          <w:szCs w:val="20"/>
        </w:rPr>
        <w:t xml:space="preserve"> E. ON</w:t>
      </w:r>
      <w:r w:rsidRPr="00186AB3">
        <w:rPr>
          <w:rStyle w:val="strongchar"/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186AB3">
        <w:rPr>
          <w:rStyle w:val="strongchar"/>
          <w:rFonts w:ascii="Calibri" w:hAnsi="Calibri" w:cs="Calibri"/>
          <w:i/>
          <w:iCs/>
          <w:sz w:val="20"/>
          <w:szCs w:val="20"/>
        </w:rPr>
        <w:t>Energy</w:t>
      </w:r>
      <w:proofErr w:type="spellEnd"/>
      <w:r w:rsidRPr="00186AB3">
        <w:rPr>
          <w:rStyle w:val="strongchar"/>
          <w:rFonts w:ascii="Calibri" w:hAnsi="Calibri" w:cs="Calibri"/>
          <w:i/>
          <w:iCs/>
          <w:sz w:val="20"/>
          <w:szCs w:val="20"/>
        </w:rPr>
        <w:t xml:space="preserve"> Globe </w:t>
      </w:r>
      <w:proofErr w:type="spellStart"/>
      <w:r w:rsidRPr="00186AB3">
        <w:rPr>
          <w:rStyle w:val="strongchar"/>
          <w:rFonts w:ascii="Calibri" w:hAnsi="Calibri" w:cs="Calibri"/>
          <w:i/>
          <w:iCs/>
          <w:sz w:val="20"/>
          <w:szCs w:val="20"/>
        </w:rPr>
        <w:t>Award</w:t>
      </w:r>
      <w:proofErr w:type="spellEnd"/>
      <w:r w:rsidRPr="00186AB3">
        <w:rPr>
          <w:rStyle w:val="strongchar"/>
          <w:rFonts w:ascii="Calibri" w:hAnsi="Calibri" w:cs="Calibri"/>
          <w:i/>
          <w:iCs/>
          <w:sz w:val="20"/>
          <w:szCs w:val="20"/>
        </w:rPr>
        <w:t xml:space="preserve"> 2010</w:t>
      </w:r>
      <w:r w:rsidRPr="00186AB3">
        <w:rPr>
          <w:rStyle w:val="normalchar"/>
          <w:rFonts w:ascii="Calibri" w:hAnsi="Calibri" w:cs="Calibri"/>
          <w:i/>
          <w:iCs/>
          <w:sz w:val="20"/>
          <w:szCs w:val="20"/>
        </w:rPr>
        <w:t xml:space="preserve"> za projekt EPC v Národním divadle.</w:t>
      </w:r>
      <w:r>
        <w:rPr>
          <w:rStyle w:val="normalchar"/>
          <w:rFonts w:ascii="Calibri" w:hAnsi="Calibri" w:cs="Calibri"/>
          <w:i/>
          <w:iCs/>
          <w:sz w:val="20"/>
          <w:szCs w:val="20"/>
        </w:rPr>
        <w:t xml:space="preserve"> </w:t>
      </w:r>
    </w:p>
    <w:p w14:paraId="4F6943DE" w14:textId="77777777" w:rsidR="0005630D" w:rsidRPr="00C818C4" w:rsidRDefault="0005630D" w:rsidP="007C77F1">
      <w:pPr>
        <w:spacing w:before="0" w:after="0" w:line="240" w:lineRule="auto"/>
      </w:pPr>
      <w:r>
        <w:rPr>
          <w:rStyle w:val="normalchar"/>
          <w:rFonts w:ascii="Calibri" w:hAnsi="Calibri" w:cs="Calibri"/>
          <w:i/>
          <w:iCs/>
          <w:sz w:val="20"/>
          <w:szCs w:val="20"/>
        </w:rPr>
        <w:t xml:space="preserve">Více o ENESA a.s. na </w:t>
      </w:r>
      <w:hyperlink r:id="rId9" w:history="1">
        <w:r w:rsidRPr="00FE0D9B">
          <w:rPr>
            <w:rStyle w:val="Hypertextovodkaz"/>
            <w:rFonts w:ascii="Calibri" w:hAnsi="Calibri" w:cs="Calibri"/>
            <w:i/>
            <w:iCs/>
            <w:sz w:val="20"/>
            <w:szCs w:val="20"/>
          </w:rPr>
          <w:t>http://www.enesa.cz/</w:t>
        </w:r>
      </w:hyperlink>
      <w:bookmarkEnd w:id="0"/>
      <w:bookmarkEnd w:id="1"/>
      <w:bookmarkEnd w:id="2"/>
    </w:p>
    <w:sectPr w:rsidR="0005630D" w:rsidRPr="00C818C4" w:rsidSect="00F03204">
      <w:headerReference w:type="default" r:id="rId10"/>
      <w:footerReference w:type="default" r:id="rId11"/>
      <w:pgSz w:w="11906" w:h="16838" w:code="9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84B43" w14:textId="77777777" w:rsidR="00636F51" w:rsidRDefault="00636F51" w:rsidP="006475D4">
      <w:pPr>
        <w:spacing w:after="0" w:line="240" w:lineRule="auto"/>
      </w:pPr>
      <w:r>
        <w:separator/>
      </w:r>
    </w:p>
  </w:endnote>
  <w:endnote w:type="continuationSeparator" w:id="0">
    <w:p w14:paraId="6BB9A666" w14:textId="77777777" w:rsidR="00636F51" w:rsidRDefault="00636F51" w:rsidP="0064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5D42" w14:textId="074D4FF0" w:rsidR="000E79B4" w:rsidRDefault="000E79B4" w:rsidP="000E79B4">
    <w:pPr>
      <w:pStyle w:val="Zpat"/>
    </w:pPr>
    <w:r>
      <w:t xml:space="preserve">Martina Paulová, PR specialista, e-mail: </w:t>
    </w:r>
    <w:hyperlink r:id="rId1" w:history="1">
      <w:r w:rsidRPr="004D1CE8">
        <w:rPr>
          <w:rStyle w:val="Hypertextovodkaz"/>
        </w:rPr>
        <w:t>paulova@kcp.cz</w:t>
      </w:r>
    </w:hyperlink>
    <w:r>
      <w:t>, www.kcp.cz</w:t>
    </w:r>
  </w:p>
  <w:p w14:paraId="3C5CDB97" w14:textId="77777777" w:rsidR="000E79B4" w:rsidRDefault="000E79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5F3F6" w14:textId="77777777" w:rsidR="00636F51" w:rsidRDefault="00636F51" w:rsidP="006475D4">
      <w:pPr>
        <w:spacing w:after="0" w:line="240" w:lineRule="auto"/>
      </w:pPr>
      <w:r>
        <w:separator/>
      </w:r>
    </w:p>
  </w:footnote>
  <w:footnote w:type="continuationSeparator" w:id="0">
    <w:p w14:paraId="524CBE52" w14:textId="77777777" w:rsidR="00636F51" w:rsidRDefault="00636F51" w:rsidP="0064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F992E" w14:textId="25176D87" w:rsidR="000E79B4" w:rsidRDefault="000E79B4">
    <w:pPr>
      <w:pStyle w:val="Zhlav"/>
    </w:pPr>
    <w:r>
      <w:rPr>
        <w:lang w:eastAsia="cs-CZ"/>
      </w:rPr>
      <w:drawing>
        <wp:inline distT="0" distB="0" distL="0" distR="0" wp14:anchorId="76FD7D48" wp14:editId="75BC3A06">
          <wp:extent cx="5362576" cy="12581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526" cy="126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73A1E" w14:textId="77777777" w:rsidR="000E79B4" w:rsidRDefault="000E79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37253"/>
    <w:multiLevelType w:val="multilevel"/>
    <w:tmpl w:val="0FDCA700"/>
    <w:lvl w:ilvl="0">
      <w:start w:val="1"/>
      <w:numFmt w:val="decimal"/>
      <w:suff w:val="nothing"/>
      <w:lvlText w:val="Článek %1."/>
      <w:lvlJc w:val="left"/>
      <w:pPr>
        <w:ind w:left="4395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681"/>
        </w:tabs>
        <w:ind w:left="681" w:hanging="397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1021"/>
        </w:tabs>
        <w:ind w:left="1021" w:hanging="73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928"/>
        </w:tabs>
        <w:ind w:left="908" w:hanging="340"/>
      </w:pPr>
      <w:rPr>
        <w:rFonts w:ascii="Arial" w:hAnsi="Arial" w:cs="Times New Roman" w:hint="default"/>
        <w:b w:val="0"/>
        <w:i w:val="0"/>
        <w:color w:val="auto"/>
        <w:sz w:val="22"/>
        <w:u w:val="none"/>
      </w:rPr>
    </w:lvl>
    <w:lvl w:ilvl="5">
      <w:start w:val="1"/>
      <w:numFmt w:val="none"/>
      <w:suff w:val="nothing"/>
      <w:lvlText w:val=""/>
      <w:lvlJc w:val="left"/>
      <w:pPr>
        <w:ind w:left="284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284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84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F7"/>
    <w:rsid w:val="00011A3C"/>
    <w:rsid w:val="00033873"/>
    <w:rsid w:val="00040995"/>
    <w:rsid w:val="0005630D"/>
    <w:rsid w:val="000731C4"/>
    <w:rsid w:val="00081BA6"/>
    <w:rsid w:val="000C167A"/>
    <w:rsid w:val="000E3861"/>
    <w:rsid w:val="000E47C2"/>
    <w:rsid w:val="000E79B4"/>
    <w:rsid w:val="00106881"/>
    <w:rsid w:val="00131C10"/>
    <w:rsid w:val="00134319"/>
    <w:rsid w:val="00134463"/>
    <w:rsid w:val="00150EA3"/>
    <w:rsid w:val="00151638"/>
    <w:rsid w:val="00186AB3"/>
    <w:rsid w:val="00197D66"/>
    <w:rsid w:val="001C1A88"/>
    <w:rsid w:val="001C6E86"/>
    <w:rsid w:val="001F3846"/>
    <w:rsid w:val="002101E8"/>
    <w:rsid w:val="00275471"/>
    <w:rsid w:val="00295FD2"/>
    <w:rsid w:val="002A2264"/>
    <w:rsid w:val="002B1CFD"/>
    <w:rsid w:val="002F1150"/>
    <w:rsid w:val="002F17FA"/>
    <w:rsid w:val="00312AB5"/>
    <w:rsid w:val="00325A88"/>
    <w:rsid w:val="003A2AF7"/>
    <w:rsid w:val="004368A3"/>
    <w:rsid w:val="00437AA1"/>
    <w:rsid w:val="0044215E"/>
    <w:rsid w:val="00463FD9"/>
    <w:rsid w:val="00496975"/>
    <w:rsid w:val="004B1013"/>
    <w:rsid w:val="004E3E28"/>
    <w:rsid w:val="004E6AA0"/>
    <w:rsid w:val="00516367"/>
    <w:rsid w:val="00524D9F"/>
    <w:rsid w:val="005D3A19"/>
    <w:rsid w:val="005D3AEA"/>
    <w:rsid w:val="005F5B58"/>
    <w:rsid w:val="005F728E"/>
    <w:rsid w:val="00601672"/>
    <w:rsid w:val="00615593"/>
    <w:rsid w:val="00636F51"/>
    <w:rsid w:val="006452F3"/>
    <w:rsid w:val="006475D4"/>
    <w:rsid w:val="0067711D"/>
    <w:rsid w:val="006B0F58"/>
    <w:rsid w:val="006D110D"/>
    <w:rsid w:val="007C5904"/>
    <w:rsid w:val="007C77F1"/>
    <w:rsid w:val="007E7341"/>
    <w:rsid w:val="0080092D"/>
    <w:rsid w:val="0080700F"/>
    <w:rsid w:val="00807E14"/>
    <w:rsid w:val="00813619"/>
    <w:rsid w:val="008171ED"/>
    <w:rsid w:val="008532E1"/>
    <w:rsid w:val="008A1019"/>
    <w:rsid w:val="008A771B"/>
    <w:rsid w:val="008B6A5E"/>
    <w:rsid w:val="008C0963"/>
    <w:rsid w:val="00A175EE"/>
    <w:rsid w:val="00A56DEC"/>
    <w:rsid w:val="00A76A4D"/>
    <w:rsid w:val="00AA5188"/>
    <w:rsid w:val="00AE71E8"/>
    <w:rsid w:val="00B03D75"/>
    <w:rsid w:val="00B3288F"/>
    <w:rsid w:val="00B374D2"/>
    <w:rsid w:val="00BE6D17"/>
    <w:rsid w:val="00C41862"/>
    <w:rsid w:val="00C4580C"/>
    <w:rsid w:val="00C818C4"/>
    <w:rsid w:val="00C93CBC"/>
    <w:rsid w:val="00CC7D18"/>
    <w:rsid w:val="00CF77CF"/>
    <w:rsid w:val="00D41C32"/>
    <w:rsid w:val="00D846A6"/>
    <w:rsid w:val="00D9652B"/>
    <w:rsid w:val="00E42DCE"/>
    <w:rsid w:val="00E61D51"/>
    <w:rsid w:val="00EC53D4"/>
    <w:rsid w:val="00EE19BD"/>
    <w:rsid w:val="00F03204"/>
    <w:rsid w:val="00F17B08"/>
    <w:rsid w:val="00F36EF2"/>
    <w:rsid w:val="00F742F2"/>
    <w:rsid w:val="00F92C62"/>
    <w:rsid w:val="00FB4842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F1AE36"/>
  <w15:docId w15:val="{D9522D2B-485E-42E6-8C6B-EC90A6B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6367"/>
    <w:pPr>
      <w:spacing w:before="120" w:after="240"/>
      <w:jc w:val="both"/>
    </w:pPr>
    <w:rPr>
      <w:noProof/>
    </w:rPr>
  </w:style>
  <w:style w:type="paragraph" w:styleId="Nadpis1">
    <w:name w:val="heading 1"/>
    <w:basedOn w:val="Normln"/>
    <w:next w:val="Normln"/>
    <w:link w:val="Nadpis1Char"/>
    <w:uiPriority w:val="99"/>
    <w:qFormat/>
    <w:rsid w:val="003A2AF7"/>
    <w:pPr>
      <w:keepNext/>
      <w:spacing w:before="360" w:after="0" w:line="288" w:lineRule="auto"/>
      <w:jc w:val="center"/>
      <w:outlineLvl w:val="0"/>
    </w:pPr>
    <w:rPr>
      <w:rFonts w:ascii="Arial" w:eastAsia="Times New Roman" w:hAnsi="Arial" w:cs="Arial"/>
      <w:b/>
      <w:bCs/>
      <w:noProof w:val="0"/>
      <w:kern w:val="32"/>
      <w:sz w:val="24"/>
      <w:szCs w:val="32"/>
      <w:lang w:eastAsia="cs-CZ"/>
    </w:rPr>
  </w:style>
  <w:style w:type="paragraph" w:styleId="Nadpis2">
    <w:name w:val="heading 2"/>
    <w:aliases w:val="Char,Nadpis 2 úroveň,Nadpis 2 úroveò"/>
    <w:basedOn w:val="Normln"/>
    <w:next w:val="Normln"/>
    <w:link w:val="Nadpis2Char"/>
    <w:uiPriority w:val="99"/>
    <w:qFormat/>
    <w:rsid w:val="003A2AF7"/>
    <w:pPr>
      <w:numPr>
        <w:ilvl w:val="1"/>
        <w:numId w:val="1"/>
      </w:numPr>
      <w:spacing w:after="0" w:line="264" w:lineRule="auto"/>
      <w:outlineLvl w:val="1"/>
    </w:pPr>
    <w:rPr>
      <w:rFonts w:ascii="Arial" w:eastAsia="Times New Roman" w:hAnsi="Arial" w:cs="Arial"/>
      <w:bCs/>
      <w:iCs/>
      <w:noProof w:val="0"/>
      <w:szCs w:val="28"/>
      <w:lang w:eastAsia="cs-CZ"/>
    </w:rPr>
  </w:style>
  <w:style w:type="paragraph" w:styleId="Nadpis3">
    <w:name w:val="heading 3"/>
    <w:aliases w:val="Nadpis 3 úroveň,Nadpis 3 úroveò"/>
    <w:basedOn w:val="Normln"/>
    <w:next w:val="Normln"/>
    <w:link w:val="Nadpis3Char"/>
    <w:uiPriority w:val="99"/>
    <w:qFormat/>
    <w:rsid w:val="003A2AF7"/>
    <w:pPr>
      <w:numPr>
        <w:ilvl w:val="2"/>
        <w:numId w:val="1"/>
      </w:numPr>
      <w:spacing w:after="0" w:line="288" w:lineRule="auto"/>
      <w:outlineLvl w:val="2"/>
    </w:pPr>
    <w:rPr>
      <w:rFonts w:ascii="Arial" w:eastAsia="Times New Roman" w:hAnsi="Arial" w:cs="Arial"/>
      <w:bCs/>
      <w:noProof w:val="0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A2AF7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aliases w:val="Char Char,Nadpis 2 úroveň Char,Nadpis 2 úroveò Char"/>
    <w:basedOn w:val="Standardnpsmoodstavce"/>
    <w:link w:val="Nadpis2"/>
    <w:uiPriority w:val="99"/>
    <w:rsid w:val="003A2AF7"/>
    <w:rPr>
      <w:rFonts w:ascii="Arial" w:eastAsia="Times New Roman" w:hAnsi="Arial" w:cs="Arial"/>
      <w:bCs/>
      <w:iCs/>
      <w:szCs w:val="28"/>
      <w:lang w:eastAsia="cs-CZ"/>
    </w:rPr>
  </w:style>
  <w:style w:type="character" w:customStyle="1" w:styleId="Nadpis3Char">
    <w:name w:val="Nadpis 3 Char"/>
    <w:aliases w:val="Nadpis 3 úroveň Char,Nadpis 3 úroveò Char"/>
    <w:basedOn w:val="Standardnpsmoodstavce"/>
    <w:link w:val="Nadpis3"/>
    <w:uiPriority w:val="99"/>
    <w:rsid w:val="003A2AF7"/>
    <w:rPr>
      <w:rFonts w:ascii="Arial" w:eastAsia="Times New Roman" w:hAnsi="Arial" w:cs="Arial"/>
      <w:bCs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F17B08"/>
    <w:pPr>
      <w:spacing w:after="0" w:line="360" w:lineRule="auto"/>
    </w:pPr>
    <w:rPr>
      <w:rFonts w:ascii="Arial" w:eastAsia="Times New Roman" w:hAnsi="Arial" w:cs="Arial"/>
      <w:noProof w:val="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17B08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ormalchar">
    <w:name w:val="normal__char"/>
    <w:uiPriority w:val="99"/>
    <w:rsid w:val="00F17B08"/>
  </w:style>
  <w:style w:type="character" w:customStyle="1" w:styleId="strongchar">
    <w:name w:val="strong__char"/>
    <w:uiPriority w:val="99"/>
    <w:rsid w:val="00F17B08"/>
  </w:style>
  <w:style w:type="character" w:styleId="Hypertextovodkaz">
    <w:name w:val="Hyperlink"/>
    <w:uiPriority w:val="99"/>
    <w:unhideWhenUsed/>
    <w:rsid w:val="00F17B0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B08"/>
    <w:rPr>
      <w:rFonts w:ascii="Tahoma" w:hAnsi="Tahoma" w:cs="Tahoma"/>
      <w:noProof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5D4"/>
    <w:rPr>
      <w:noProof/>
    </w:rPr>
  </w:style>
  <w:style w:type="paragraph" w:styleId="Zpat">
    <w:name w:val="footer"/>
    <w:basedOn w:val="Normln"/>
    <w:link w:val="ZpatChar"/>
    <w:uiPriority w:val="99"/>
    <w:unhideWhenUsed/>
    <w:rsid w:val="0064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5D4"/>
    <w:rPr>
      <w:noProof/>
    </w:rPr>
  </w:style>
  <w:style w:type="character" w:styleId="Odkaznakoment">
    <w:name w:val="annotation reference"/>
    <w:basedOn w:val="Standardnpsmoodstavce"/>
    <w:uiPriority w:val="99"/>
    <w:semiHidden/>
    <w:unhideWhenUsed/>
    <w:rsid w:val="00647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75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75D4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75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75D4"/>
    <w:rPr>
      <w:b/>
      <w:bCs/>
      <w:noProof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51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p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s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lova@kc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CD4C-5D13-4499-BE90-DC2DCD99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Ksiazczak</dc:creator>
  <cp:lastModifiedBy>Paulova</cp:lastModifiedBy>
  <cp:revision>12</cp:revision>
  <cp:lastPrinted>2017-03-03T13:45:00Z</cp:lastPrinted>
  <dcterms:created xsi:type="dcterms:W3CDTF">2017-02-16T15:18:00Z</dcterms:created>
  <dcterms:modified xsi:type="dcterms:W3CDTF">2017-03-16T12:24:00Z</dcterms:modified>
</cp:coreProperties>
</file>